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F" w:rsidRDefault="0032242A">
      <w:pPr>
        <w:jc w:val="center"/>
        <w:rPr>
          <w:rFonts w:ascii="Arial Unicode" w:eastAsia="Arial Unicode" w:hAnsi="Arial Unicode" w:cs="Arial Unicode"/>
          <w:b/>
          <w:color w:val="000000"/>
          <w:sz w:val="21"/>
          <w:szCs w:val="21"/>
          <w:highlight w:val="white"/>
        </w:rPr>
      </w:pPr>
      <w:r>
        <w:rPr>
          <w:rFonts w:ascii="Arial Unicode" w:eastAsia="Arial Unicode" w:hAnsi="Arial Unicode" w:cs="Arial Unicode"/>
          <w:b/>
          <w:color w:val="000000"/>
          <w:sz w:val="21"/>
          <w:szCs w:val="21"/>
          <w:highlight w:val="white"/>
        </w:rPr>
        <w:t>ՀԱՅՏԱՐԱՐՈՒԹՅՈՒՆ</w:t>
      </w:r>
    </w:p>
    <w:p w:rsidR="0097018F" w:rsidRDefault="0097018F">
      <w:pPr>
        <w:jc w:val="center"/>
        <w:rPr>
          <w:rFonts w:ascii="Arial Unicode" w:eastAsia="Arial Unicode" w:hAnsi="Arial Unicode" w:cs="Arial Unicode"/>
          <w:b/>
          <w:color w:val="000000"/>
          <w:sz w:val="21"/>
          <w:szCs w:val="21"/>
          <w:highlight w:val="white"/>
        </w:rPr>
      </w:pPr>
    </w:p>
    <w:p w:rsidR="0097018F" w:rsidRDefault="0032242A">
      <w:pPr>
        <w:shd w:val="clear" w:color="auto" w:fill="FFFFFF"/>
        <w:spacing w:after="0" w:line="240" w:lineRule="auto"/>
        <w:ind w:left="-270"/>
        <w:jc w:val="both"/>
        <w:rPr>
          <w:rFonts w:ascii="Tahoma" w:eastAsia="Tahoma" w:hAnsi="Tahoma" w:cs="Tahoma"/>
          <w:b/>
          <w:color w:val="4E4E4E"/>
          <w:sz w:val="20"/>
          <w:szCs w:val="20"/>
        </w:rPr>
      </w:pPr>
      <w:r>
        <w:rPr>
          <w:rFonts w:ascii="Tahoma" w:eastAsia="Tahoma" w:hAnsi="Tahoma" w:cs="Tahoma"/>
          <w:b/>
          <w:color w:val="4E4E4E"/>
          <w:sz w:val="20"/>
          <w:szCs w:val="20"/>
        </w:rPr>
        <w:t>«</w:t>
      </w:r>
      <w:proofErr w:type="spellStart"/>
      <w:r>
        <w:rPr>
          <w:rFonts w:ascii="Tahoma" w:eastAsia="Tahoma" w:hAnsi="Tahoma" w:cs="Tahoma"/>
          <w:b/>
          <w:color w:val="4E4E4E"/>
          <w:sz w:val="20"/>
          <w:szCs w:val="20"/>
        </w:rPr>
        <w:t>Հայաստանիազգայինագրարայինհամալսարան</w:t>
      </w:r>
      <w:proofErr w:type="spellEnd"/>
      <w:r>
        <w:rPr>
          <w:rFonts w:ascii="Tahoma" w:eastAsia="Tahoma" w:hAnsi="Tahoma" w:cs="Tahoma"/>
          <w:b/>
          <w:color w:val="4E4E4E"/>
          <w:sz w:val="20"/>
          <w:szCs w:val="20"/>
        </w:rPr>
        <w:t>» հիմանդրամըհայտարարումէմրցույթ՝սեփականությանիրավունքովիրենպատկանողևօտարմանենթակատրանսպորտայինմիջոցներիևգյուղտեխնիկայիմրց</w:t>
      </w:r>
      <w:bookmarkStart w:id="0" w:name="_GoBack"/>
      <w:bookmarkEnd w:id="0"/>
      <w:r>
        <w:rPr>
          <w:rFonts w:ascii="Tahoma" w:eastAsia="Tahoma" w:hAnsi="Tahoma" w:cs="Tahoma"/>
          <w:b/>
          <w:color w:val="4E4E4E"/>
          <w:sz w:val="20"/>
          <w:szCs w:val="20"/>
        </w:rPr>
        <w:t>ութայինկարգովվաճառքիվերաբերյալ:</w:t>
      </w:r>
    </w:p>
    <w:p w:rsidR="0097018F" w:rsidRDefault="0097018F">
      <w:pPr>
        <w:shd w:val="clear" w:color="auto" w:fill="FFFFFF"/>
        <w:spacing w:after="0" w:line="240" w:lineRule="auto"/>
        <w:ind w:left="-270"/>
        <w:jc w:val="both"/>
        <w:rPr>
          <w:rFonts w:ascii="Tahoma" w:eastAsia="Tahoma" w:hAnsi="Tahoma" w:cs="Tahoma"/>
          <w:b/>
          <w:color w:val="4E4E4E"/>
          <w:sz w:val="20"/>
          <w:szCs w:val="20"/>
        </w:rPr>
      </w:pPr>
    </w:p>
    <w:p w:rsidR="0097018F" w:rsidRDefault="0032242A">
      <w:pPr>
        <w:shd w:val="clear" w:color="auto" w:fill="FFFFFF"/>
        <w:spacing w:after="0" w:line="240" w:lineRule="auto"/>
        <w:ind w:left="-270"/>
        <w:jc w:val="both"/>
        <w:rPr>
          <w:rFonts w:ascii="Tahoma" w:eastAsia="Tahoma" w:hAnsi="Tahoma" w:cs="Tahoma"/>
          <w:color w:val="4E4E4E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4E4E4E"/>
          <w:sz w:val="20"/>
          <w:szCs w:val="20"/>
        </w:rPr>
        <w:t>Մրցույթըտեղիկունենա</w:t>
      </w:r>
      <w:proofErr w:type="spellEnd"/>
      <w:r>
        <w:rPr>
          <w:rFonts w:ascii="Tahoma" w:eastAsia="Tahoma" w:hAnsi="Tahoma" w:cs="Tahoma"/>
          <w:color w:val="4E4E4E"/>
          <w:sz w:val="20"/>
          <w:szCs w:val="20"/>
        </w:rPr>
        <w:t xml:space="preserve"> 2019 թ․-</w:t>
      </w:r>
      <w:proofErr w:type="spellStart"/>
      <w:r>
        <w:rPr>
          <w:rFonts w:ascii="Tahoma" w:eastAsia="Tahoma" w:hAnsi="Tahoma" w:cs="Tahoma"/>
          <w:i/>
          <w:color w:val="4E4E4E"/>
          <w:sz w:val="20"/>
          <w:szCs w:val="20"/>
        </w:rPr>
        <w:t>ի</w:t>
      </w:r>
      <w:r>
        <w:rPr>
          <w:rFonts w:ascii="Tahoma" w:eastAsia="Tahoma" w:hAnsi="Tahoma" w:cs="Tahoma"/>
          <w:b/>
          <w:i/>
          <w:color w:val="4E4E4E"/>
          <w:sz w:val="20"/>
          <w:szCs w:val="20"/>
        </w:rPr>
        <w:t>հոկտեմբերի</w:t>
      </w:r>
      <w:proofErr w:type="spellEnd"/>
      <w:r>
        <w:rPr>
          <w:rFonts w:ascii="Tahoma" w:eastAsia="Tahoma" w:hAnsi="Tahoma" w:cs="Tahoma"/>
          <w:b/>
          <w:i/>
          <w:color w:val="4E4E4E"/>
          <w:sz w:val="20"/>
          <w:szCs w:val="20"/>
        </w:rPr>
        <w:t xml:space="preserve"> 28-ին, 15․00-ին</w:t>
      </w:r>
      <w:r>
        <w:rPr>
          <w:rFonts w:ascii="Tahoma" w:eastAsia="Tahoma" w:hAnsi="Tahoma" w:cs="Tahoma"/>
          <w:color w:val="4E4E4E"/>
          <w:sz w:val="20"/>
          <w:szCs w:val="20"/>
        </w:rPr>
        <w:t>, ՀԱԱՀ 1-ինմասնաշենք, 2-րդհարկ, «</w:t>
      </w:r>
      <w:proofErr w:type="spellStart"/>
      <w:r>
        <w:rPr>
          <w:rFonts w:ascii="Tahoma" w:eastAsia="Tahoma" w:hAnsi="Tahoma" w:cs="Tahoma"/>
          <w:color w:val="4E4E4E"/>
          <w:sz w:val="20"/>
          <w:szCs w:val="20"/>
        </w:rPr>
        <w:t>Գիտականխորհրդինիստերիդահլիճում</w:t>
      </w:r>
      <w:proofErr w:type="spellEnd"/>
      <w:r>
        <w:rPr>
          <w:rFonts w:ascii="Tahoma" w:eastAsia="Tahoma" w:hAnsi="Tahoma" w:cs="Tahoma"/>
          <w:color w:val="4E4E4E"/>
          <w:sz w:val="20"/>
          <w:szCs w:val="20"/>
        </w:rPr>
        <w:t>»։</w:t>
      </w:r>
    </w:p>
    <w:p w:rsidR="0097018F" w:rsidRDefault="0097018F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4E4E4E"/>
          <w:sz w:val="20"/>
          <w:szCs w:val="20"/>
        </w:rPr>
      </w:pPr>
    </w:p>
    <w:p w:rsidR="0097018F" w:rsidRDefault="0097018F">
      <w:pPr>
        <w:shd w:val="clear" w:color="auto" w:fill="FFFFFF"/>
        <w:spacing w:after="0" w:line="240" w:lineRule="auto"/>
        <w:rPr>
          <w:rFonts w:ascii="Tahoma" w:eastAsia="Tahoma" w:hAnsi="Tahoma" w:cs="Tahoma"/>
          <w:color w:val="4E4E4E"/>
          <w:sz w:val="20"/>
          <w:szCs w:val="20"/>
        </w:rPr>
      </w:pPr>
    </w:p>
    <w:tbl>
      <w:tblPr>
        <w:tblStyle w:val="af0"/>
        <w:tblW w:w="9465" w:type="dxa"/>
        <w:tblInd w:w="-120" w:type="dxa"/>
        <w:tblBorders>
          <w:top w:val="single" w:sz="4" w:space="0" w:color="E0E0E0"/>
          <w:left w:val="single" w:sz="6" w:space="0" w:color="E0E0E0"/>
          <w:bottom w:val="single" w:sz="4" w:space="0" w:color="E0E0E0"/>
          <w:right w:val="single" w:sz="6" w:space="0" w:color="E0E0E0"/>
        </w:tblBorders>
        <w:tblLayout w:type="fixed"/>
        <w:tblLook w:val="0400"/>
      </w:tblPr>
      <w:tblGrid>
        <w:gridCol w:w="9465"/>
      </w:tblGrid>
      <w:tr w:rsidR="0097018F">
        <w:trPr>
          <w:trHeight w:val="340"/>
        </w:trPr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Օտարմանառարկատրանսպորտայինմիջոցներիևգյուղտեխնիկայիտվյալները</w:t>
            </w:r>
            <w:proofErr w:type="spellEnd"/>
          </w:p>
        </w:tc>
      </w:tr>
      <w:tr w:rsidR="0097018F">
        <w:trPr>
          <w:trHeight w:val="340"/>
        </w:trPr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1</w:t>
            </w:r>
            <w:r>
              <w:rPr>
                <w:rFonts w:ascii="MS UI Gothic" w:eastAsia="MS UI Gothic" w:hAnsi="MS UI Gothic" w:cs="MS UI Gothic"/>
                <w:color w:val="4E4E4E"/>
                <w:sz w:val="20"/>
                <w:szCs w:val="20"/>
              </w:rPr>
              <w:t>․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Հետևյալհղմամբտեղադրվածենտրանսպորտայինմիջոցներիևգյուղտեխնիկայի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այսուհետ՝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Գույք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տվյալներիմանրամասները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այդթվումտեխնիկականպարամետրեր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մեկնարկայինգինևայլն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այսուհետ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Ցանկ</w:t>
            </w:r>
            <w:proofErr w:type="spellEnd"/>
            <w:proofErr w:type="gram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)։</w:t>
            </w:r>
            <w:proofErr w:type="gram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link:</w:t>
            </w:r>
            <w:hyperlink r:id="rId5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docdro.id</w:t>
              </w:r>
              <w:proofErr w:type="spellEnd"/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/1OczflA</w:t>
              </w:r>
            </w:hyperlink>
          </w:p>
        </w:tc>
      </w:tr>
      <w:tr w:rsidR="0097018F">
        <w:trPr>
          <w:trHeight w:val="340"/>
        </w:trPr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1․2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Մրցույթինմասնակցելուևգնայինառաջարկիհայտը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այսուհետ՝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Հայտ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) ևկիցներկայացվողանհրաժեշտփաստաթղթերիցանկըկարողեքներբեռնելհետևյալհղմամբ</w:t>
            </w:r>
          </w:p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link:</w:t>
            </w:r>
            <w:hyperlink r:id="rId6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https://drive.google.com/file/d/1KfUSwk8EATF1LX5zxl8plSZUa6h2LoaE/view?usp=sharing</w:t>
              </w:r>
            </w:hyperlink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Մրցույթիկարգըևպայմանները</w:t>
            </w:r>
            <w:proofErr w:type="spellEnd"/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2.1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Մրցույթիկազմակերպիչէհանդիսանում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Հայաստանիազգայինագրարայինհամալսարան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հիմնադրամը</w:t>
            </w:r>
            <w:proofErr w:type="spellEnd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այսուհետ</w:t>
            </w:r>
            <w:proofErr w:type="spellEnd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Հիմնադրամ</w:t>
            </w:r>
            <w:proofErr w:type="spellEnd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, որիկողմիցսահմանվածմրցութային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Կարգ-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ինկարողեքծանոթանալհետևյալհղմամբ՝</w:t>
            </w:r>
          </w:p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link:</w:t>
            </w:r>
            <w:hyperlink r:id="rId7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 xml:space="preserve"> https://docdro.id/kYmbL3q</w:t>
              </w:r>
            </w:hyperlink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2.2 Մրցույթինմասնակցելուհամարանհրաժեշտէ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Հիմնադրամ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ներկայացնել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Հայտը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ևմասնակցությանվճարըհավաստողփաստաթուղթ՝ք.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Երևան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Տերյան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74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հասցեով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1-ինմասնաշենք, 129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սենյակ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մինչև</w:t>
            </w:r>
            <w:r>
              <w:rPr>
                <w:rFonts w:ascii="Tahoma" w:eastAsia="Tahoma" w:hAnsi="Tahoma" w:cs="Tahoma"/>
                <w:b/>
                <w:i/>
                <w:color w:val="4E4E4E"/>
                <w:sz w:val="20"/>
                <w:szCs w:val="20"/>
              </w:rPr>
              <w:t>հոկտեմբերի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4E4E4E"/>
                <w:sz w:val="20"/>
                <w:szCs w:val="20"/>
              </w:rPr>
              <w:t xml:space="preserve"> 25-ը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color w:val="434343"/>
                <w:sz w:val="20"/>
                <w:szCs w:val="20"/>
              </w:rPr>
              <w:t>ժամը 17․00-ն</w:t>
            </w:r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։</w:t>
            </w:r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34343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2.4 Լրացուցիչտեղեկություններստանալուհամարկարողեքդիմել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Հիմնադրամ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012 583452,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կամ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012 528516</w:t>
            </w:r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հեռախոսահամարներովԼիլիթԱթանայանինկամուղարկելհաղորդագրություն</w:t>
            </w:r>
            <w:hyperlink r:id="rId8"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/>
                </w:rPr>
                <w:t>alilits@mail.ru</w:t>
              </w:r>
            </w:hyperlink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 xml:space="preserve">, </w:t>
            </w:r>
            <w:hyperlink r:id="rId9"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/>
                </w:rPr>
                <w:t>h.zakeyan@anau.am</w:t>
              </w:r>
            </w:hyperlink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էլեկտրոնայինհասցեներին:</w:t>
            </w:r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2.5 ՄրցույթիմասնակիցներըկարողենտեսնելևուսումնասիրելԳույքըմինչև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Հայտերի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ներկայացմանվերջինօրը՝աշխատանքայինօրերին։ՁեզհետաքրքրողԳույքիգտնվելուվայրիհասցենկարողեքնախօրոքճշտելվերոհիշյալհեռախոսահամարներով։</w:t>
            </w:r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2.6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Հայտով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նախատեսվածտեղեկություններըևփաստաթղթերըներկայացվումեն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Հիմնադրամ՝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փակևկնքված (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իրավաբանականանձիկնիքով՝առկայությանդեպքում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կամստորագրված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ֆիզիկականանձիկողմից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ծրարով</w:t>
            </w:r>
            <w:proofErr w:type="spellEnd"/>
            <w:proofErr w:type="gram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:</w:t>
            </w:r>
            <w:proofErr w:type="gram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Հայտի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ծրարիվրակատարվումենհետևյալգրառումները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.</w:t>
            </w:r>
          </w:p>
          <w:p w:rsidR="0097018F" w:rsidRDefault="0032242A">
            <w:pPr>
              <w:spacing w:after="0" w:line="240" w:lineRule="auto"/>
              <w:ind w:left="720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           • «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Հայաստանիազգայինագրարայինհամալսարան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» 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հիմնադրամ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br/>
              <w:t>• «տրանսպորտայինմիջոցներիևգյուղտեխնիկայիմրցութայինկարգովվաճառքիմասնակցությանևգնայինառաջարկիհայտ»,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ֆիզիկականանձիդեպքում՝հայտատուիանունը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ազգանունը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, 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անձնագրիտվյալները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իսկ</w:t>
            </w:r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իրավաբանականանձիդեպքում՝անվանումը</w:t>
            </w:r>
            <w:proofErr w:type="spellEnd"/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պետականգրանցմանհամարըևՀՎՀՀ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br/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հայտատուիհասցեն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հեռախոսահամարը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էլեկտրոնայինփոստիհասցեն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առկայությանդեպքում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իսկիրավաբանականանձիդեպքում՝նաևգտնվելուվայրը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Լոտիհամարը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կարողեքգտնել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1․1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հղումով՝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Ցանկում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):</w:t>
            </w:r>
          </w:p>
          <w:p w:rsidR="0097018F" w:rsidRDefault="0097018F">
            <w:pPr>
              <w:spacing w:after="0" w:line="240" w:lineRule="auto"/>
              <w:ind w:left="720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</w:p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  <w:u w:val="single"/>
              </w:rPr>
              <w:t>Ծրարինկիցներկայացվումէմասնակցությանվճարըհավաստողփաստաթուղթը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  <w:u w:val="single"/>
              </w:rPr>
              <w:t>:</w:t>
            </w:r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lastRenderedPageBreak/>
              <w:t xml:space="preserve">3. </w:t>
            </w:r>
            <w:proofErr w:type="spellStart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Մրցույթի</w:t>
            </w:r>
            <w:r>
              <w:rPr>
                <w:rFonts w:ascii="Tahoma" w:eastAsia="Tahoma" w:hAnsi="Tahoma" w:cs="Tahoma"/>
                <w:b/>
                <w:color w:val="3C4043"/>
                <w:sz w:val="20"/>
                <w:szCs w:val="20"/>
                <w:highlight w:val="white"/>
              </w:rPr>
              <w:t>արդյունքներիամփոփում</w:t>
            </w:r>
            <w:proofErr w:type="spellEnd"/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3.1 Տրանսպորտայինմիջոցիկամգյուղտեխնիկայիձեռքբերմանհամարմասնակցիառաջարկածգինըչիկարողպակասլինել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Հիմնադրամի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կողմիցառաջարկվողմեկնարկայինգնից:</w:t>
            </w:r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34343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 xml:space="preserve">3.2 </w:t>
            </w:r>
            <w:proofErr w:type="spellStart"/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Եթեառաջարկվածլոտիհամարընդամենըմեկգնմանհայտէներկայացվել</w:t>
            </w:r>
            <w:proofErr w:type="spellEnd"/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ապագործարքըկատարվումէհայտումառաջարկվողգնով</w:t>
            </w:r>
            <w:proofErr w:type="spellEnd"/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:</w:t>
            </w:r>
          </w:p>
        </w:tc>
      </w:tr>
      <w:tr w:rsidR="0097018F">
        <w:tc>
          <w:tcPr>
            <w:tcW w:w="9465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3.3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Մրցույթնամփոփվելուցհետո</w:t>
            </w:r>
            <w:r>
              <w:rPr>
                <w:rFonts w:ascii="Tahoma" w:eastAsia="Tahoma" w:hAnsi="Tahoma" w:cs="Tahoma"/>
                <w:color w:val="434343"/>
                <w:sz w:val="20"/>
                <w:szCs w:val="20"/>
              </w:rPr>
              <w:t>Հիմնադրամըառ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ավելագույնը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3 (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երեք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աշխատանքայինօրվաընթացքումտեղեկացնումէմրցույթիհաղթողին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այսուհետ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Գնորդ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մրցույթիարդյունքներիմասին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: Մնացածմասնակիցներըտեղեկացվումենմասնակցությանվճարիվերադարձմանկարգիմասին:</w:t>
            </w:r>
          </w:p>
        </w:tc>
      </w:tr>
    </w:tbl>
    <w:p w:rsidR="0097018F" w:rsidRDefault="009701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4E4E4E"/>
          <w:sz w:val="20"/>
          <w:szCs w:val="20"/>
        </w:rPr>
      </w:pPr>
    </w:p>
    <w:tbl>
      <w:tblPr>
        <w:tblStyle w:val="af1"/>
        <w:tblW w:w="9450" w:type="dxa"/>
        <w:tblInd w:w="-90" w:type="dxa"/>
        <w:tblBorders>
          <w:top w:val="single" w:sz="4" w:space="0" w:color="E0E0E0"/>
          <w:left w:val="single" w:sz="6" w:space="0" w:color="E0E0E0"/>
          <w:bottom w:val="single" w:sz="4" w:space="0" w:color="E0E0E0"/>
          <w:right w:val="single" w:sz="6" w:space="0" w:color="E0E0E0"/>
        </w:tblBorders>
        <w:tblLayout w:type="fixed"/>
        <w:tblLook w:val="0400"/>
      </w:tblPr>
      <w:tblGrid>
        <w:gridCol w:w="9450"/>
      </w:tblGrid>
      <w:tr w:rsidR="0097018F">
        <w:tc>
          <w:tcPr>
            <w:tcW w:w="9450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3.4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Եթե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Գնորդը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հրաժարվումէվճարելհաղթածլոտիհամար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, ապավերջինիսչիվերադարձվումմասնակցությանվճարըևհաղթողէճանաչվումտվյալ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Գույքի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ձեռքբերմանհամարհաջորդառավելբարձրգիններկայացրածմասնակիցը:</w:t>
            </w:r>
          </w:p>
        </w:tc>
      </w:tr>
      <w:tr w:rsidR="0097018F">
        <w:tc>
          <w:tcPr>
            <w:tcW w:w="9450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Մրցույթիհաղթողիհետգումարիվճարմանկարգնուպայմանները</w:t>
            </w:r>
            <w:proofErr w:type="spellEnd"/>
          </w:p>
        </w:tc>
      </w:tr>
      <w:tr w:rsidR="0097018F">
        <w:tc>
          <w:tcPr>
            <w:tcW w:w="9450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4.1 Գործարքիվավերացմանևգրանցմանհետկապվածբոլորտեսակիծախսերըկատարումէ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Գնորդը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ԳնորդըԳույքի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արժեքըվճարումէմիանվագ`«Արդշինբանկ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ՓԲԸբանկիհամապատասխանհաշվինՀ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/հ 2470100531030000, 3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աշխատանքայինօրվաընթացքում՝հաշվանցելովմասնակցությանվճարը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։</w:t>
            </w:r>
          </w:p>
        </w:tc>
      </w:tr>
      <w:tr w:rsidR="0097018F">
        <w:tc>
          <w:tcPr>
            <w:tcW w:w="9450" w:type="dxa"/>
            <w:tcBorders>
              <w:top w:val="single" w:sz="6" w:space="0" w:color="E0E0E0"/>
              <w:left w:val="single" w:sz="4" w:space="0" w:color="E0E0E0"/>
              <w:bottom w:val="single" w:sz="6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7018F" w:rsidRDefault="0032242A">
            <w:pPr>
              <w:spacing w:after="0" w:line="240" w:lineRule="auto"/>
              <w:rPr>
                <w:rFonts w:ascii="Tahoma" w:eastAsia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4.2 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Գնորդը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պարտավորվումէիրմիջոցներովտեղափոխելմրցույթովձեռքբերված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Գույքը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ծանուցվելուօրվանից 10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օրվաընթացքում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հակառակդեպքումկկիրառվեն</w:t>
            </w:r>
            <w:r>
              <w:rPr>
                <w:rFonts w:ascii="Tahoma" w:eastAsia="Tahoma" w:hAnsi="Tahoma" w:cs="Tahoma"/>
                <w:b/>
                <w:color w:val="4E4E4E"/>
                <w:sz w:val="20"/>
                <w:szCs w:val="20"/>
              </w:rPr>
              <w:t>Գույքի</w:t>
            </w:r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պահպանությանհետկապվածվճարներ</w:t>
            </w:r>
            <w:proofErr w:type="spellEnd"/>
            <w:r>
              <w:rPr>
                <w:rFonts w:ascii="Tahoma" w:eastAsia="Tahoma" w:hAnsi="Tahoma" w:cs="Tahoma"/>
                <w:color w:val="4E4E4E"/>
                <w:sz w:val="20"/>
                <w:szCs w:val="20"/>
              </w:rPr>
              <w:t>։</w:t>
            </w:r>
          </w:p>
        </w:tc>
      </w:tr>
    </w:tbl>
    <w:p w:rsidR="0097018F" w:rsidRDefault="0097018F">
      <w:pPr>
        <w:jc w:val="center"/>
      </w:pPr>
    </w:p>
    <w:p w:rsidR="0097018F" w:rsidRDefault="0097018F"/>
    <w:sectPr w:rsidR="0097018F" w:rsidSect="00377FD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18F"/>
    <w:rsid w:val="0032242A"/>
    <w:rsid w:val="00377FDC"/>
    <w:rsid w:val="0097018F"/>
    <w:rsid w:val="00F3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88"/>
  </w:style>
  <w:style w:type="paragraph" w:styleId="1">
    <w:name w:val="heading 1"/>
    <w:basedOn w:val="Normal1"/>
    <w:next w:val="Normal1"/>
    <w:rsid w:val="00E36E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E36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E36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E36E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E36E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E36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Normal1"/>
    <w:next w:val="Normal1"/>
    <w:rsid w:val="00E36E3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36E33"/>
  </w:style>
  <w:style w:type="character" w:styleId="a4">
    <w:name w:val="Strong"/>
    <w:basedOn w:val="a0"/>
    <w:uiPriority w:val="22"/>
    <w:qFormat/>
    <w:rsid w:val="001A7888"/>
    <w:rPr>
      <w:b/>
      <w:bCs/>
    </w:rPr>
  </w:style>
  <w:style w:type="character" w:styleId="a5">
    <w:name w:val="Hyperlink"/>
    <w:basedOn w:val="a0"/>
    <w:uiPriority w:val="99"/>
    <w:unhideWhenUsed/>
    <w:rsid w:val="001A78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888"/>
    <w:rPr>
      <w:rFonts w:ascii="Tahoma" w:hAnsi="Tahoma" w:cs="Tahoma"/>
      <w:sz w:val="16"/>
      <w:szCs w:val="16"/>
      <w:lang w:val="en-US"/>
    </w:rPr>
  </w:style>
  <w:style w:type="character" w:styleId="a8">
    <w:name w:val="annotation reference"/>
    <w:basedOn w:val="a0"/>
    <w:uiPriority w:val="99"/>
    <w:semiHidden/>
    <w:unhideWhenUsed/>
    <w:rsid w:val="00AE6E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6E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6E41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6E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6E41"/>
    <w:rPr>
      <w:b/>
      <w:bCs/>
      <w:sz w:val="20"/>
      <w:szCs w:val="20"/>
      <w:lang w:val="en-US"/>
    </w:rPr>
  </w:style>
  <w:style w:type="paragraph" w:styleId="ad">
    <w:name w:val="Subtitle"/>
    <w:basedOn w:val="a"/>
    <w:next w:val="a"/>
    <w:rsid w:val="00377F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E36E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a1"/>
    <w:rsid w:val="00E36E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96AA2"/>
    <w:rPr>
      <w:color w:val="605E5C"/>
      <w:shd w:val="clear" w:color="auto" w:fill="E1DFDD"/>
    </w:rPr>
  </w:style>
  <w:style w:type="table" w:customStyle="1" w:styleId="af0">
    <w:basedOn w:val="a1"/>
    <w:rsid w:val="00377F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a1"/>
    <w:rsid w:val="00377F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88"/>
  </w:style>
  <w:style w:type="paragraph" w:styleId="Heading1">
    <w:name w:val="heading 1"/>
    <w:basedOn w:val="Normal1"/>
    <w:next w:val="Normal1"/>
    <w:rsid w:val="00E36E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36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36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36E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36E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36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E36E3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36E33"/>
  </w:style>
  <w:style w:type="character" w:styleId="Strong">
    <w:name w:val="Strong"/>
    <w:basedOn w:val="DefaultParagraphFont"/>
    <w:uiPriority w:val="22"/>
    <w:qFormat/>
    <w:rsid w:val="001A788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8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41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6E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36E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AA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lit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dro.id/kYmbL3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KfUSwk8EATF1LX5zxl8plSZUa6h2LoaE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dro.id/1Oczf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.zakeyan@ana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pZByW4AyTXvNpHyoRtmWl8cfg==">AMUW2mUGCTwbZh25kzCVP+ZH0sFrfPy9DR9Eyv5X+8/O9jfThRojQny7dRC2yqpyZ3XNYC91FGp8b8UpTkVVfcoTNtjHxRpIbmZ5QFWcGdWMT9RnSGttBs0chPT1FuEbtcMx3W02jdW6PFk+rQQzs3Xb2TRirw3EeIgQK5HNiGj5EA38md0XLelnLV4TmhdxtNLfjLMeotP76raSiyrjkgC0513VRCQ/dvkJU/XTm9gy38p4gTGELksbqeCEBidvcpviRKPFj8k6S8tAJzcg7VMN1BKFsIdX4o+5mPe+BG7E6N3jiK7Np8LtbMvz/ZFqxM20bIrO9GTJ4TXORvw06kgIk8xFPKN4jNxh+BOkiQwoKCTI3uvcKknKAKgGnSgUskmsQ4yOT4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tasks/docs/attachment.php?id=92711&amp;fn=ARDIR.docx&amp;out=0&amp;token=26ef7e1f54f4a458bbe6</cp:keywords>
  <cp:lastModifiedBy>Admin</cp:lastModifiedBy>
  <cp:revision>2</cp:revision>
  <dcterms:created xsi:type="dcterms:W3CDTF">2019-10-15T05:19:00Z</dcterms:created>
  <dcterms:modified xsi:type="dcterms:W3CDTF">2019-10-15T05:19:00Z</dcterms:modified>
</cp:coreProperties>
</file>